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основных и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основных и дополнительных образовательных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«Проектирование и разработка основных и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основных и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«Проектирование и разработка основных и дополнительных образовательных программ»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ФГОС ОО как методологическая основа проектирования</w:t>
            </w:r>
          </w:p>
          <w:p>
            <w:pPr>
              <w:jc w:val="left"/>
              <w:spacing w:after="0" w:line="240" w:lineRule="auto"/>
              <w:rPr>
                <w:sz w:val="24"/>
                <w:szCs w:val="24"/>
              </w:rPr>
            </w:pPr>
            <w:r>
              <w:rPr>
                <w:rFonts w:ascii="Times New Roman" w:hAnsi="Times New Roman" w:cs="Times New Roman"/>
                <w:b/>
                <w:color w:val="#000000"/>
                <w:sz w:val="24"/>
                <w:szCs w:val="24"/>
              </w:rPr>
              <w:t> содержания образовательного процесса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и психолого- педагогические</w:t>
            </w:r>
          </w:p>
          <w:p>
            <w:pPr>
              <w:jc w:val="left"/>
              <w:spacing w:after="0" w:line="240" w:lineRule="auto"/>
              <w:rPr>
                <w:sz w:val="24"/>
                <w:szCs w:val="24"/>
              </w:rPr>
            </w:pPr>
            <w:r>
              <w:rPr>
                <w:rFonts w:ascii="Times New Roman" w:hAnsi="Times New Roman" w:cs="Times New Roman"/>
                <w:color w:val="#000000"/>
                <w:sz w:val="24"/>
                <w:szCs w:val="24"/>
              </w:rPr>
              <w:t> предпосылки обновления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курсов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ОО как совокупность требований общему</w:t>
            </w:r>
          </w:p>
          <w:p>
            <w:pPr>
              <w:jc w:val="left"/>
              <w:spacing w:after="0" w:line="240" w:lineRule="auto"/>
              <w:rPr>
                <w:sz w:val="24"/>
                <w:szCs w:val="24"/>
              </w:rPr>
            </w:pPr>
            <w:r>
              <w:rPr>
                <w:rFonts w:ascii="Times New Roman" w:hAnsi="Times New Roman" w:cs="Times New Roman"/>
                <w:color w:val="#000000"/>
                <w:sz w:val="24"/>
                <w:szCs w:val="24"/>
              </w:rPr>
              <w:t>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учебных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компонентов основных и дополнительных</w:t>
            </w:r>
          </w:p>
          <w:p>
            <w:pPr>
              <w:jc w:val="left"/>
              <w:spacing w:after="0" w:line="240" w:lineRule="auto"/>
              <w:rPr>
                <w:sz w:val="24"/>
                <w:szCs w:val="24"/>
              </w:rPr>
            </w:pPr>
            <w:r>
              <w:rPr>
                <w:rFonts w:ascii="Times New Roman" w:hAnsi="Times New Roman" w:cs="Times New Roman"/>
                <w:b/>
                <w:color w:val="#000000"/>
                <w:sz w:val="24"/>
                <w:szCs w:val="24"/>
              </w:rPr>
              <w:t> образовательных программ и разработка научно- методическое</w:t>
            </w:r>
          </w:p>
          <w:p>
            <w:pPr>
              <w:jc w:val="left"/>
              <w:spacing w:after="0" w:line="240" w:lineRule="auto"/>
              <w:rPr>
                <w:sz w:val="24"/>
                <w:szCs w:val="24"/>
              </w:rPr>
            </w:pPr>
            <w:r>
              <w:rPr>
                <w:rFonts w:ascii="Times New Roman" w:hAnsi="Times New Roman" w:cs="Times New Roman"/>
                <w:b/>
                <w:color w:val="#000000"/>
                <w:sz w:val="24"/>
                <w:szCs w:val="24"/>
              </w:rPr>
              <w:t> обеспечение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основного и дополнительного образования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российской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Проектирвоание дополнительных общеобразовательных</w:t>
            </w:r>
          </w:p>
          <w:p>
            <w:pPr>
              <w:jc w:val="left"/>
              <w:spacing w:after="0" w:line="240" w:lineRule="auto"/>
              <w:rPr>
                <w:sz w:val="24"/>
                <w:szCs w:val="24"/>
              </w:rPr>
            </w:pPr>
            <w:r>
              <w:rPr>
                <w:rFonts w:ascii="Times New Roman" w:hAnsi="Times New Roman" w:cs="Times New Roman"/>
                <w:color w:val="#000000"/>
                <w:sz w:val="24"/>
                <w:szCs w:val="24"/>
              </w:rPr>
              <w:t>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основных</w:t>
            </w:r>
          </w:p>
          <w:p>
            <w:pPr>
              <w:jc w:val="left"/>
              <w:spacing w:after="0" w:line="240" w:lineRule="auto"/>
              <w:rPr>
                <w:sz w:val="24"/>
                <w:szCs w:val="24"/>
              </w:rPr>
            </w:pPr>
            <w:r>
              <w:rPr>
                <w:rFonts w:ascii="Times New Roman" w:hAnsi="Times New Roman" w:cs="Times New Roman"/>
                <w:color w:val="#000000"/>
                <w:sz w:val="24"/>
                <w:szCs w:val="24"/>
              </w:rPr>
              <w:t> образовательныз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УУД у</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духовно-нравственного развития,</w:t>
            </w:r>
          </w:p>
          <w:p>
            <w:pPr>
              <w:jc w:val="left"/>
              <w:spacing w:after="0" w:line="240" w:lineRule="auto"/>
              <w:rPr>
                <w:sz w:val="24"/>
                <w:szCs w:val="24"/>
              </w:rPr>
            </w:pPr>
            <w:r>
              <w:rPr>
                <w:rFonts w:ascii="Times New Roman" w:hAnsi="Times New Roman" w:cs="Times New Roman"/>
                <w:color w:val="#000000"/>
                <w:sz w:val="24"/>
                <w:szCs w:val="24"/>
              </w:rPr>
              <w:t> воспитания и социализации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формирования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 здорового и безопасного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34.2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и психолого-педагогические</w:t>
            </w:r>
          </w:p>
        </w:tc>
      </w:tr>
      <w:tr>
        <w:trPr>
          <w:trHeight w:hRule="exact" w:val="513.7643"/>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обновления образования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образование</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предпосылки модернизации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Состояние отечественной психолого-педагогической науки к началу XXI века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курсов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парадигма как основа проектирования системы образовательных</w:t>
            </w:r>
          </w:p>
          <w:p>
            <w:pPr>
              <w:jc w:val="both"/>
              <w:spacing w:after="0" w:line="240" w:lineRule="auto"/>
              <w:rPr>
                <w:sz w:val="24"/>
                <w:szCs w:val="24"/>
              </w:rPr>
            </w:pPr>
            <w:r>
              <w:rPr>
                <w:rFonts w:ascii="Times New Roman" w:hAnsi="Times New Roman" w:cs="Times New Roman"/>
                <w:color w:val="#000000"/>
                <w:sz w:val="24"/>
                <w:szCs w:val="24"/>
              </w:rPr>
              <w:t> результатов.</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основных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Планируемые личностные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метапредметные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предметные результаты освоения ООП.</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основных и дополнительных образовательных программ»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p>
        </w:tc>
      </w:tr>
      <w:tr>
        <w:trPr>
          <w:trHeight w:hRule="exact" w:val="563.450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36.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2023-2024_ФГОС3++2023_Бак-ЗФО-ПО(МО)(23)_plx_Проектирование и разработка основных и дополнительных образовательных программ</dc:title>
  <dc:creator>FastReport.NET</dc:creator>
</cp:coreProperties>
</file>